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73" w:rsidRPr="00A217F4" w:rsidRDefault="00127BF8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12</w:t>
      </w:r>
      <w:r w:rsidR="00877EA4">
        <w:rPr>
          <w:rFonts w:asciiTheme="minorHAnsi" w:hAnsiTheme="minorHAnsi"/>
          <w:b w:val="0"/>
          <w:bCs w:val="0"/>
          <w:sz w:val="20"/>
        </w:rPr>
        <w:t>.06</w:t>
      </w:r>
      <w:r w:rsidR="00881459">
        <w:rPr>
          <w:rFonts w:asciiTheme="minorHAnsi" w:hAnsiTheme="minorHAnsi"/>
          <w:b w:val="0"/>
          <w:bCs w:val="0"/>
          <w:sz w:val="20"/>
        </w:rPr>
        <w:t>.2016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eastAsia="pl-PL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</w:rPr>
      </w:pPr>
      <w:r w:rsidRPr="00A217F4">
        <w:rPr>
          <w:rFonts w:asciiTheme="minorHAnsi" w:hAnsiTheme="minorHAnsi"/>
        </w:rPr>
        <w:t xml:space="preserve">tel. </w:t>
      </w:r>
      <w:r w:rsidR="00DE45D2" w:rsidRPr="00A217F4">
        <w:rPr>
          <w:rFonts w:asciiTheme="minorHAnsi" w:hAnsiTheme="minorHAnsi"/>
        </w:rPr>
        <w:t>509 509</w:t>
      </w:r>
      <w:r w:rsidR="00BE15EA" w:rsidRPr="00A217F4">
        <w:rPr>
          <w:rFonts w:asciiTheme="minorHAnsi" w:hAnsiTheme="minorHAnsi"/>
        </w:rPr>
        <w:t> </w:t>
      </w:r>
      <w:r w:rsidR="00DE45D2" w:rsidRPr="00A217F4">
        <w:rPr>
          <w:rFonts w:asciiTheme="minorHAnsi" w:hAnsiTheme="minorHAnsi"/>
        </w:rPr>
        <w:t>536</w:t>
      </w:r>
    </w:p>
    <w:p w:rsidR="006D03DA" w:rsidRPr="00A217F4" w:rsidRDefault="004B0079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0D470B" w:rsidRDefault="000D470B" w:rsidP="00C53DE9">
      <w:pPr>
        <w:spacing w:line="276" w:lineRule="auto"/>
        <w:jc w:val="center"/>
        <w:rPr>
          <w:rFonts w:asciiTheme="minorHAnsi" w:eastAsia="Calibri" w:hAnsiTheme="minorHAnsi"/>
          <w:b/>
          <w:color w:val="002060"/>
          <w:sz w:val="40"/>
          <w:szCs w:val="40"/>
        </w:rPr>
      </w:pPr>
    </w:p>
    <w:p w:rsidR="00127BF8" w:rsidRPr="00127BF8" w:rsidRDefault="004B0079" w:rsidP="00127BF8">
      <w:pPr>
        <w:pStyle w:val="TytuSedlak"/>
        <w:rPr>
          <w:rFonts w:cstheme="minorHAnsi"/>
          <w:shd w:val="clear" w:color="auto" w:fill="F9F9F9"/>
        </w:rPr>
      </w:pPr>
      <w:r w:rsidRPr="00127BF8">
        <w:rPr>
          <w:rFonts w:cstheme="minorHAnsi"/>
          <w:shd w:val="clear" w:color="auto" w:fill="F9F9F9"/>
        </w:rPr>
        <w:t xml:space="preserve">ZESTAWIENIE WYNAGRODZEŃ ABSOLWENTÓW </w:t>
      </w:r>
    </w:p>
    <w:p w:rsidR="00127BF8" w:rsidRPr="00127BF8" w:rsidRDefault="004B0079" w:rsidP="00127BF8">
      <w:pPr>
        <w:pStyle w:val="TytuSedlak"/>
        <w:rPr>
          <w:rFonts w:cstheme="minorHAnsi"/>
          <w:shd w:val="clear" w:color="auto" w:fill="F9F9F9"/>
        </w:rPr>
      </w:pPr>
      <w:r w:rsidRPr="00127BF8">
        <w:rPr>
          <w:rFonts w:cstheme="minorHAnsi"/>
          <w:shd w:val="clear" w:color="auto" w:fill="F9F9F9"/>
        </w:rPr>
        <w:t>PUBLICZNYCH UNIWERSYTETÓW W POLSCE W 2016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  <w:bookmarkStart w:id="0" w:name="_GoBack"/>
      <w:bookmarkEnd w:id="0"/>
    </w:p>
    <w:p w:rsidR="00127BF8" w:rsidRPr="00127BF8" w:rsidRDefault="00127BF8" w:rsidP="00127BF8">
      <w:pPr>
        <w:spacing w:line="276" w:lineRule="auto"/>
        <w:jc w:val="both"/>
        <w:rPr>
          <w:rStyle w:val="tekstsedlakZnak"/>
          <w:rFonts w:cstheme="minorHAnsi"/>
        </w:rPr>
      </w:pPr>
      <w:r w:rsidRPr="00127BF8">
        <w:rPr>
          <w:rFonts w:asciiTheme="minorHAnsi" w:hAnsiTheme="minorHAnsi" w:cstheme="minorHAnsi"/>
          <w:b/>
          <w:color w:val="002060"/>
        </w:rPr>
        <w:t xml:space="preserve">Informacje o badaniu: </w:t>
      </w:r>
      <w:r w:rsidRPr="00127BF8">
        <w:rPr>
          <w:rStyle w:val="tekstsedlakZnak"/>
          <w:rFonts w:cstheme="minorHAnsi"/>
        </w:rPr>
        <w:t xml:space="preserve">W 2016 roku w badaniu uczestniczyły 145 782 osoby. Ze względów metodologicznych w obliczeniach końcowych uwzględniliśmy dane 115 163 respondentów. 61% uczestników badania ma nie więcej niż 35 lat, 67% mieszka w miastach powyżej 100 000 mieszkańców, 69% ma wykształcenie wyższe, 47% pracuje w wielkich lub dużych przedsiębiorstwach, zaś 79% pracuje w firmach prywatnych. </w:t>
      </w:r>
    </w:p>
    <w:p w:rsidR="00127BF8" w:rsidRPr="00127BF8" w:rsidRDefault="00127BF8" w:rsidP="00127BF8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color w:val="000000"/>
        </w:rPr>
      </w:pPr>
      <w:r w:rsidRPr="00127BF8">
        <w:rPr>
          <w:rStyle w:val="cldarkblue"/>
          <w:rFonts w:asciiTheme="minorHAnsi" w:hAnsiTheme="minorHAnsi" w:cstheme="minorHAnsi"/>
          <w:color w:val="3A3A3A"/>
        </w:rPr>
        <w:t>Partnerzy badania:</w:t>
      </w:r>
      <w:r w:rsidRPr="00127BF8">
        <w:rPr>
          <w:rFonts w:asciiTheme="minorHAnsi" w:hAnsiTheme="minorHAnsi" w:cstheme="minorHAnsi"/>
          <w:b/>
          <w:color w:val="3A3A3A"/>
        </w:rPr>
        <w:t xml:space="preserve"> interia.pl, </w:t>
      </w:r>
      <w:r w:rsidRPr="00127BF8">
        <w:rPr>
          <w:rFonts w:asciiTheme="minorHAnsi" w:hAnsiTheme="minorHAnsi" w:cstheme="minorHAnsi"/>
          <w:b/>
          <w:color w:val="000000"/>
        </w:rPr>
        <w:t>interviewme.pl</w:t>
      </w:r>
    </w:p>
    <w:p w:rsidR="00127BF8" w:rsidRPr="00127BF8" w:rsidRDefault="00127BF8" w:rsidP="00127BF8">
      <w:pPr>
        <w:spacing w:line="276" w:lineRule="auto"/>
        <w:jc w:val="both"/>
        <w:rPr>
          <w:rFonts w:asciiTheme="minorHAnsi" w:hAnsiTheme="minorHAnsi" w:cstheme="minorHAnsi"/>
        </w:rPr>
      </w:pPr>
    </w:p>
    <w:p w:rsidR="00127BF8" w:rsidRPr="00127BF8" w:rsidRDefault="00127BF8" w:rsidP="00127BF8">
      <w:pPr>
        <w:spacing w:line="276" w:lineRule="auto"/>
        <w:jc w:val="both"/>
        <w:rPr>
          <w:rFonts w:asciiTheme="minorHAnsi" w:hAnsiTheme="minorHAnsi" w:cstheme="minorHAnsi"/>
        </w:rPr>
      </w:pPr>
      <w:r w:rsidRPr="00127BF8">
        <w:rPr>
          <w:rFonts w:asciiTheme="minorHAnsi" w:hAnsiTheme="minorHAnsi" w:cstheme="minorHAnsi"/>
        </w:rPr>
        <w:t>Przypominamy, że głównym celem OBW jest prezentacja stawek wynagrodzeń na poszczególnych stanowiskach (m.in. poprzez moduł "</w:t>
      </w:r>
      <w:hyperlink r:id="rId10" w:history="1">
        <w:r w:rsidRPr="00127BF8">
          <w:rPr>
            <w:rStyle w:val="Hipercze"/>
            <w:rFonts w:asciiTheme="minorHAnsi" w:hAnsiTheme="minorHAnsi" w:cstheme="minorHAnsi"/>
          </w:rPr>
          <w:t>Moja płaca</w:t>
        </w:r>
      </w:hyperlink>
      <w:r w:rsidRPr="00127BF8">
        <w:rPr>
          <w:rFonts w:asciiTheme="minorHAnsi" w:hAnsiTheme="minorHAnsi" w:cstheme="minorHAnsi"/>
        </w:rPr>
        <w:t>”). W związku z tym, ze względu na nielosowy charakter próby, wyniki ogólne należy traktować jako orientacyjne. Opisują one jedynie konkretną badaną próbę. Porównując dane z poszczególnych edycji OBW prosimy pamiętać, iż brały w nich udział inne osoby. Miło nam przy okazji poinformować, że od pierwszej edycji w 2003 roku naszą ankietę wypełniło 1 276 051 osób.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  <w:b/>
        </w:rPr>
        <w:t xml:space="preserve">W niniejszym artykule zawarto zestawienie zarobków absolwentów studiów drugiego stopnia uniwersytetów publicznych, </w:t>
      </w:r>
      <w:hyperlink r:id="rId11" w:history="1">
        <w:r w:rsidRPr="00127BF8">
          <w:rPr>
            <w:rStyle w:val="Hipercze"/>
            <w:rFonts w:cstheme="minorHAnsi"/>
            <w:b/>
          </w:rPr>
          <w:t>nadzorowanych przez Ministra właściwego ds. szkolnictwa wyższego</w:t>
        </w:r>
      </w:hyperlink>
      <w:r w:rsidRPr="00127BF8">
        <w:rPr>
          <w:rFonts w:cstheme="minorHAnsi"/>
          <w:b/>
        </w:rPr>
        <w:t>. W artykule uwzględniono osoby posiadające tytuł magistra jednej z 18 uczelni, wymienionych w tabeli 1. W dalszej części artykułu wszelkie wzmianki na temat „uniwersytetów” będą odnosić się wyłącznie do tych uczelni.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>W Ogólnopolskim Badaniu Wynagrodzeń w 2016 roku wzięło udział 17 649 osób deklarujących posiadanie tytułu magistra jednego z polskich publicznych uniwersytetów. Mediana ich zarobków wyniosła 4 200 PLN brutto. Połowa ankietowanych zarabiała w przedziale od 3 000 do 6 320 PLN brutto.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 xml:space="preserve">Schemat 1. Wynagrodzenia absolwentów studiów II stopnia </w:t>
      </w: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publicznych uniwersytetów w 2016 roku (brutto w PLN)</w:t>
      </w:r>
    </w:p>
    <w:p w:rsidR="00127BF8" w:rsidRPr="00127BF8" w:rsidRDefault="00127BF8" w:rsidP="00127BF8">
      <w:pPr>
        <w:pStyle w:val="tekstsedlak"/>
        <w:jc w:val="right"/>
        <w:rPr>
          <w:rFonts w:cstheme="minorHAnsi"/>
        </w:rPr>
      </w:pPr>
      <w:r w:rsidRPr="00127BF8">
        <w:rPr>
          <w:rFonts w:cstheme="minorHAnsi"/>
          <w:noProof/>
        </w:rPr>
        <w:drawing>
          <wp:inline distT="0" distB="0" distL="0" distR="0" wp14:anchorId="5D502D07" wp14:editId="67DC6059">
            <wp:extent cx="5486400" cy="3200400"/>
            <wp:effectExtent l="0" t="0" r="3810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127BF8" w:rsidRPr="00127BF8" w:rsidRDefault="00127BF8" w:rsidP="00127BF8">
      <w:pPr>
        <w:pStyle w:val="tekstsedlak"/>
        <w:jc w:val="center"/>
        <w:rPr>
          <w:rFonts w:cstheme="minorHAnsi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 xml:space="preserve">Najwyższą medianę zarobków w 2016 roku mieli magistrowie, którzy ukończyli studia na Uniwersytecie Warszawskim (5 500 PLN brutto). Kolejni w zestawieniu są absolwenci Uniwersytetu Gdańskiego (4 500 PLN brutto) i Uniwersytetu Jagiellońskiego (4 430 PPLN brutto). Najmniej zarabiali magistrowie po uniwersytetach w Białymstoku (3 300PLN brutto), Rzeszowie (3 258 PLN brutto) oraz Kielcach (3 055 PLN brutto). Niemniej jednak należy zwrócić uwagę na znaczne </w:t>
      </w:r>
      <w:r w:rsidRPr="00127BF8">
        <w:rPr>
          <w:rFonts w:cstheme="minorHAnsi"/>
        </w:rPr>
        <w:lastRenderedPageBreak/>
        <w:t>różnice w liczbie badanych z poszczególnych uniwersytetów. Przypominamy zatem, że poniższe zestawienie ma charakter poglądowy.</w:t>
      </w: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 xml:space="preserve">Tabela 1. Wynagrodzenia absolwentów studiów II stopnia </w:t>
      </w: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publicznych uniwersytetów w Polsce w 2016 roku (brutto w PLN)</w:t>
      </w:r>
    </w:p>
    <w:tbl>
      <w:tblPr>
        <w:tblW w:w="91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2"/>
        <w:gridCol w:w="829"/>
        <w:gridCol w:w="1720"/>
        <w:gridCol w:w="1155"/>
        <w:gridCol w:w="1900"/>
      </w:tblGrid>
      <w:tr w:rsidR="00127BF8" w:rsidRPr="00127BF8" w:rsidTr="00C37967">
        <w:trPr>
          <w:trHeight w:val="780"/>
        </w:trPr>
        <w:tc>
          <w:tcPr>
            <w:tcW w:w="3592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szkoła wyższa</w:t>
            </w:r>
          </w:p>
        </w:tc>
        <w:tc>
          <w:tcPr>
            <w:tcW w:w="829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7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więcej niż</w:t>
            </w:r>
          </w:p>
        </w:tc>
        <w:tc>
          <w:tcPr>
            <w:tcW w:w="1155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90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mniej niż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Warszawski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2 331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5 500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8 500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Gdański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1 334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6 800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Jagielloński w Krakowie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3 148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4 430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6 500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Łódzki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1 737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6 500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Wrocławski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1 437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3 100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6 500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Zielonogórski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3 200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4 210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6 300</w:t>
            </w:r>
          </w:p>
        </w:tc>
      </w:tr>
      <w:tr w:rsidR="00127BF8" w:rsidRPr="00127BF8" w:rsidTr="00C37967">
        <w:trPr>
          <w:trHeight w:val="765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im. Adama Mickiewicza w Poznaniu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1 436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6 125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Mikołaja Kopernika w Toruniu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1 157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2 950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6 000</w:t>
            </w:r>
          </w:p>
        </w:tc>
      </w:tr>
      <w:tr w:rsidR="00127BF8" w:rsidRPr="00127BF8" w:rsidTr="00C37967">
        <w:trPr>
          <w:trHeight w:val="765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Marii Curie-Skłodowskiej w Lublinie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1 157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2 850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6 000</w:t>
            </w:r>
          </w:p>
        </w:tc>
      </w:tr>
      <w:tr w:rsidR="00127BF8" w:rsidRPr="00127BF8" w:rsidTr="00C37967">
        <w:trPr>
          <w:trHeight w:val="765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Kardynała Stefana Wyszyńskiego w Warszawie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3 069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5 700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Śląski w Katowicach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1 237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2 850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3 900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5 730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Szczeciński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830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2 951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3 900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5 640</w:t>
            </w:r>
          </w:p>
        </w:tc>
      </w:tr>
      <w:tr w:rsidR="00127BF8" w:rsidRPr="00127BF8" w:rsidTr="00C37967">
        <w:trPr>
          <w:trHeight w:val="765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Warmińsko-Mazurski w Olsztynie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779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2 800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5 540</w:t>
            </w:r>
          </w:p>
        </w:tc>
      </w:tr>
      <w:tr w:rsidR="00127BF8" w:rsidRPr="00127BF8" w:rsidTr="00C37967">
        <w:trPr>
          <w:trHeight w:val="765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Kazimierza Wielkiego w Bydgoszczy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2 755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3 541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5 000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Opolski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2 775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4 800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w Białymstoku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2 600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5 000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lastRenderedPageBreak/>
              <w:t>Uniwersytet Rzeszowski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2 429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3 258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4 492</w:t>
            </w:r>
          </w:p>
        </w:tc>
      </w:tr>
      <w:tr w:rsidR="00127BF8" w:rsidRPr="00127BF8" w:rsidTr="00C37967">
        <w:trPr>
          <w:trHeight w:val="390"/>
        </w:trPr>
        <w:tc>
          <w:tcPr>
            <w:tcW w:w="3592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Uniwersytet Jana Kochanowskiego w Kielcach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2 400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3 055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4 500</w:t>
            </w:r>
          </w:p>
        </w:tc>
      </w:tr>
    </w:tbl>
    <w:p w:rsidR="00127BF8" w:rsidRPr="00127BF8" w:rsidRDefault="00127BF8" w:rsidP="00127BF8">
      <w:pPr>
        <w:pStyle w:val="tekstsedlak"/>
        <w:jc w:val="center"/>
        <w:rPr>
          <w:rFonts w:cstheme="minorHAnsi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PodtytuSedlak"/>
        <w:rPr>
          <w:rFonts w:cstheme="minorHAnsi"/>
        </w:rPr>
      </w:pPr>
      <w:r w:rsidRPr="00127BF8">
        <w:rPr>
          <w:rFonts w:cstheme="minorHAnsi"/>
        </w:rPr>
        <w:t>Studia studiom nierówne</w:t>
      </w: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>Jak pokazuje tabela 2. więcej zarabiały osoby, które ukończyły studia w trybie stacjonarnym. Rozpiętość miedzy medianami miesięcznych wynagrodzeń całkowitych wynosi w tym wypadku 427 PLN.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Tabela 2. Wynagrodzenia absolwentów studiów stacjonarnych i niestacjonarnych II stopnia publicznych uniwersytetów w 2016 roku (brutto w PLN)</w:t>
      </w:r>
    </w:p>
    <w:tbl>
      <w:tblPr>
        <w:tblW w:w="8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0"/>
        <w:gridCol w:w="1320"/>
        <w:gridCol w:w="1780"/>
        <w:gridCol w:w="1440"/>
        <w:gridCol w:w="1720"/>
      </w:tblGrid>
      <w:tr w:rsidR="00127BF8" w:rsidRPr="00127BF8" w:rsidTr="00C37967">
        <w:trPr>
          <w:trHeight w:val="765"/>
          <w:jc w:val="center"/>
        </w:trPr>
        <w:tc>
          <w:tcPr>
            <w:tcW w:w="190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tryb studiów</w:t>
            </w:r>
          </w:p>
        </w:tc>
        <w:tc>
          <w:tcPr>
            <w:tcW w:w="13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78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więcej niż</w:t>
            </w:r>
          </w:p>
        </w:tc>
        <w:tc>
          <w:tcPr>
            <w:tcW w:w="144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7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mniej niż</w:t>
            </w:r>
          </w:p>
        </w:tc>
      </w:tr>
      <w:tr w:rsidR="00127BF8" w:rsidRPr="00127BF8" w:rsidTr="00C37967">
        <w:trPr>
          <w:trHeight w:val="390"/>
          <w:jc w:val="center"/>
        </w:trPr>
        <w:tc>
          <w:tcPr>
            <w:tcW w:w="19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stacjonarne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13 188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6 600</w:t>
            </w:r>
          </w:p>
        </w:tc>
      </w:tr>
      <w:tr w:rsidR="00127BF8" w:rsidRPr="00127BF8" w:rsidTr="00C37967">
        <w:trPr>
          <w:trHeight w:val="765"/>
          <w:jc w:val="center"/>
        </w:trPr>
        <w:tc>
          <w:tcPr>
            <w:tcW w:w="19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niestacjonarne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4 461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3 873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5 500</w:t>
            </w:r>
          </w:p>
        </w:tc>
      </w:tr>
    </w:tbl>
    <w:p w:rsidR="00127BF8" w:rsidRPr="00127BF8" w:rsidRDefault="00127BF8" w:rsidP="00127BF8">
      <w:pPr>
        <w:pStyle w:val="tekstsedlak"/>
        <w:jc w:val="center"/>
        <w:rPr>
          <w:rFonts w:cstheme="minorHAnsi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>Wykres 1. przedstawia mediany wynagrodzeń absolwentów uniwersytetów publicznych zatrudnionych w wybranych branżach. Kryterium doboru była próba badanych, która w tym wypadku musiała być większa niż 1 000 osób. Najwyższe wynagrodzenie otrzymywali magistrowie w branży IT (6 000 PLN). Najmniej absolwenci zarabiali w sektorze nauka i szkolnictwo (3 349 PLN), sektorze publicznym (3 310 PLN) i usługach dla ludności (3 300 PLN).</w:t>
      </w:r>
    </w:p>
    <w:p w:rsid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lastRenderedPageBreak/>
        <w:t xml:space="preserve">Wykres 1. Mediany wynagrodzeń absolwentów publicznych uniwersytetów </w:t>
      </w: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pracujących w wybranych* branżach w 2016 roku (brutto w PLN)</w:t>
      </w:r>
    </w:p>
    <w:p w:rsidR="00127BF8" w:rsidRPr="00127BF8" w:rsidRDefault="00127BF8" w:rsidP="00127BF8">
      <w:pPr>
        <w:pStyle w:val="tekstsedlak"/>
        <w:jc w:val="center"/>
        <w:rPr>
          <w:rFonts w:cstheme="minorHAnsi"/>
          <w:i/>
          <w:color w:val="565450"/>
          <w:sz w:val="20"/>
          <w:szCs w:val="20"/>
        </w:rPr>
      </w:pPr>
      <w:r w:rsidRPr="00127BF8">
        <w:rPr>
          <w:rFonts w:cstheme="minorHAnsi"/>
          <w:noProof/>
        </w:rPr>
        <w:drawing>
          <wp:inline distT="0" distB="0" distL="0" distR="0" wp14:anchorId="0C692B60" wp14:editId="39B1AAB6">
            <wp:extent cx="4572000" cy="2743200"/>
            <wp:effectExtent l="0" t="0" r="0" b="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127BF8" w:rsidRPr="00127BF8" w:rsidRDefault="00127BF8" w:rsidP="00127BF8">
      <w:pPr>
        <w:pStyle w:val="tekstsedlak"/>
        <w:jc w:val="center"/>
        <w:rPr>
          <w:rFonts w:cstheme="minorHAnsi"/>
          <w:i/>
          <w:color w:val="565450"/>
          <w:sz w:val="20"/>
          <w:szCs w:val="20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jc w:val="center"/>
        <w:rPr>
          <w:rFonts w:cstheme="minorHAnsi"/>
        </w:rPr>
      </w:pPr>
      <w:r w:rsidRPr="00127BF8">
        <w:rPr>
          <w:rFonts w:cstheme="minorHAnsi"/>
          <w:i/>
          <w:color w:val="565450"/>
          <w:sz w:val="20"/>
          <w:szCs w:val="20"/>
        </w:rPr>
        <w:t>*dla których próba przekroczyła 1 000 badanych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PodtytuSedlak"/>
        <w:rPr>
          <w:rFonts w:cstheme="minorHAnsi"/>
        </w:rPr>
      </w:pPr>
      <w:r w:rsidRPr="00127BF8">
        <w:rPr>
          <w:rFonts w:cstheme="minorHAnsi"/>
        </w:rPr>
        <w:t>Wynagrodzenia na poziomach zarządzania</w:t>
      </w: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 xml:space="preserve">Ponad połowa ankietowanych pracowała jako specjaliści. Mediana ich wynagrodzeń wyniosła 4 100 PLN. Niemal co piąty zatrudniony był jako pracownik szeregowy lub kierownik. Ich mediany wynagrodzeń wynosiły odpowiednio 2 800 i 6 325 PLN brutto miesięcznie. Z kolei tylko 6,3% badanych z tej grupy zajmowało stanowisko dyrektorskie lub zasiadało w zarządzie przedsiębiorstwa. 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 xml:space="preserve">Tabela 3. Wynagrodzenia absolwentów studiów II stopnia publicznych uniwersytetów </w:t>
      </w: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na różnych poziomach zarządzania w 2016 roku (brutto w PLN)</w:t>
      </w: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720"/>
        <w:gridCol w:w="1960"/>
        <w:gridCol w:w="1460"/>
        <w:gridCol w:w="1660"/>
      </w:tblGrid>
      <w:tr w:rsidR="00127BF8" w:rsidRPr="00127BF8" w:rsidTr="00C37967">
        <w:trPr>
          <w:trHeight w:val="765"/>
          <w:jc w:val="center"/>
        </w:trPr>
        <w:tc>
          <w:tcPr>
            <w:tcW w:w="170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poziom</w:t>
            </w:r>
          </w:p>
        </w:tc>
        <w:tc>
          <w:tcPr>
            <w:tcW w:w="172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próba</w:t>
            </w:r>
          </w:p>
        </w:tc>
        <w:tc>
          <w:tcPr>
            <w:tcW w:w="19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więcej niż</w:t>
            </w:r>
          </w:p>
        </w:tc>
        <w:tc>
          <w:tcPr>
            <w:tcW w:w="14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mediana</w:t>
            </w:r>
          </w:p>
        </w:tc>
        <w:tc>
          <w:tcPr>
            <w:tcW w:w="1660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565350"/>
                <w:sz w:val="28"/>
                <w:szCs w:val="28"/>
                <w:lang w:eastAsia="pl-PL"/>
              </w:rPr>
              <w:t>25% zarabia nie mniej niż</w:t>
            </w:r>
          </w:p>
        </w:tc>
      </w:tr>
      <w:tr w:rsidR="00127BF8" w:rsidRPr="00127BF8" w:rsidTr="00C37967">
        <w:trPr>
          <w:trHeight w:val="765"/>
          <w:jc w:val="center"/>
        </w:trPr>
        <w:tc>
          <w:tcPr>
            <w:tcW w:w="17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lastRenderedPageBreak/>
              <w:t>pracownik szeregowy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3 403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2 260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2 800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3 500</w:t>
            </w:r>
          </w:p>
        </w:tc>
      </w:tr>
      <w:tr w:rsidR="00127BF8" w:rsidRPr="00127BF8" w:rsidTr="00C37967">
        <w:trPr>
          <w:trHeight w:val="390"/>
          <w:jc w:val="center"/>
        </w:trPr>
        <w:tc>
          <w:tcPr>
            <w:tcW w:w="17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specjalista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9 818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3 100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4 100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5 600</w:t>
            </w:r>
          </w:p>
        </w:tc>
      </w:tr>
      <w:tr w:rsidR="00127BF8" w:rsidRPr="00127BF8" w:rsidTr="00C37967">
        <w:trPr>
          <w:trHeight w:val="390"/>
          <w:jc w:val="center"/>
        </w:trPr>
        <w:tc>
          <w:tcPr>
            <w:tcW w:w="17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kierownik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3 323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4 500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6 325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9 000</w:t>
            </w:r>
          </w:p>
        </w:tc>
      </w:tr>
      <w:tr w:rsidR="00127BF8" w:rsidRPr="00127BF8" w:rsidTr="00C37967">
        <w:trPr>
          <w:trHeight w:val="390"/>
          <w:jc w:val="center"/>
        </w:trPr>
        <w:tc>
          <w:tcPr>
            <w:tcW w:w="1700" w:type="dxa"/>
            <w:tcBorders>
              <w:top w:val="nil"/>
              <w:left w:val="single" w:sz="8" w:space="0" w:color="FFFFFF"/>
              <w:bottom w:val="single" w:sz="8" w:space="0" w:color="FFDEBF"/>
              <w:right w:val="single" w:sz="8" w:space="0" w:color="FFFFFF"/>
            </w:tcBorders>
            <w:shd w:val="clear" w:color="auto" w:fill="auto"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dyrektor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1 105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7 200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b/>
                <w:bCs/>
                <w:color w:val="FF7900"/>
                <w:sz w:val="28"/>
                <w:szCs w:val="28"/>
                <w:lang w:eastAsia="pl-PL"/>
              </w:rPr>
              <w:t>12 000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FFDEBF"/>
              <w:right w:val="single" w:sz="8" w:space="0" w:color="FFFFFF"/>
            </w:tcBorders>
            <w:shd w:val="clear" w:color="auto" w:fill="auto"/>
            <w:noWrap/>
            <w:vAlign w:val="center"/>
            <w:hideMark/>
          </w:tcPr>
          <w:p w:rsidR="00127BF8" w:rsidRPr="00127BF8" w:rsidRDefault="00127BF8" w:rsidP="00127BF8">
            <w:pPr>
              <w:spacing w:line="276" w:lineRule="auto"/>
              <w:jc w:val="center"/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</w:pPr>
            <w:r w:rsidRPr="00127BF8">
              <w:rPr>
                <w:rFonts w:asciiTheme="minorHAnsi" w:hAnsiTheme="minorHAnsi" w:cstheme="minorHAnsi"/>
                <w:color w:val="5A5A5A"/>
                <w:sz w:val="28"/>
                <w:szCs w:val="28"/>
                <w:lang w:eastAsia="pl-PL"/>
              </w:rPr>
              <w:t>18 000</w:t>
            </w:r>
          </w:p>
        </w:tc>
      </w:tr>
    </w:tbl>
    <w:p w:rsidR="00127BF8" w:rsidRPr="00127BF8" w:rsidRDefault="00127BF8" w:rsidP="00127BF8">
      <w:pPr>
        <w:pStyle w:val="tekstsedlak"/>
        <w:jc w:val="center"/>
        <w:rPr>
          <w:rFonts w:cstheme="minorHAnsi"/>
          <w:i/>
          <w:color w:val="565450"/>
          <w:sz w:val="20"/>
          <w:szCs w:val="20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PodtytuSedlak"/>
        <w:rPr>
          <w:rFonts w:cstheme="minorHAnsi"/>
        </w:rPr>
      </w:pPr>
      <w:r w:rsidRPr="00127BF8">
        <w:rPr>
          <w:rFonts w:cstheme="minorHAnsi"/>
        </w:rPr>
        <w:t>Wynagrodzenia na stanowiskach</w:t>
      </w:r>
    </w:p>
    <w:p w:rsidR="00127BF8" w:rsidRPr="00127BF8" w:rsidRDefault="00127BF8" w:rsidP="00127BF8">
      <w:pPr>
        <w:pStyle w:val="tekstsedlak"/>
        <w:rPr>
          <w:rFonts w:cstheme="minorHAnsi"/>
        </w:rPr>
      </w:pPr>
      <w:r w:rsidRPr="00127BF8">
        <w:rPr>
          <w:rFonts w:cstheme="minorHAnsi"/>
        </w:rPr>
        <w:t>Wykres 2. przedstawia mediany wynagrodzeń magistrów na wybranych stanowiskach, gdzie próba badawcza przekroczyła 200 osób.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pStyle w:val="wykressedlak"/>
        <w:rPr>
          <w:rFonts w:cstheme="minorHAnsi"/>
        </w:rPr>
      </w:pPr>
      <w:r w:rsidRPr="00127BF8">
        <w:rPr>
          <w:rFonts w:cstheme="minorHAnsi"/>
        </w:rPr>
        <w:t>Wykres 2. Mediany wynagrodzeń absolwentów studiów II stopnia publicznych uniwersytetów na wybranych stanowiskach w 2016 roku (brutto w PLN)</w:t>
      </w:r>
    </w:p>
    <w:p w:rsidR="00127BF8" w:rsidRPr="00127BF8" w:rsidRDefault="00127BF8" w:rsidP="00127BF8">
      <w:pPr>
        <w:pStyle w:val="tekstsedlak"/>
        <w:jc w:val="center"/>
        <w:rPr>
          <w:rFonts w:cstheme="minorHAnsi"/>
          <w:i/>
          <w:color w:val="565450"/>
          <w:sz w:val="20"/>
          <w:szCs w:val="20"/>
        </w:rPr>
      </w:pPr>
      <w:r w:rsidRPr="00127BF8">
        <w:rPr>
          <w:rFonts w:cstheme="minorHAnsi"/>
          <w:noProof/>
        </w:rPr>
        <w:drawing>
          <wp:inline distT="0" distB="0" distL="0" distR="0" wp14:anchorId="6FEEE1BB" wp14:editId="3A56A610">
            <wp:extent cx="4572000" cy="2743200"/>
            <wp:effectExtent l="0" t="0" r="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127BF8" w:rsidRPr="00127BF8" w:rsidRDefault="00127BF8" w:rsidP="00127BF8">
      <w:pPr>
        <w:pStyle w:val="tekstsedlak"/>
        <w:jc w:val="center"/>
        <w:rPr>
          <w:rFonts w:cstheme="minorHAnsi"/>
          <w:i/>
          <w:color w:val="565450"/>
          <w:sz w:val="20"/>
          <w:szCs w:val="20"/>
        </w:rPr>
      </w:pPr>
      <w:r w:rsidRPr="00127BF8">
        <w:rPr>
          <w:rFonts w:cstheme="minorHAnsi"/>
          <w:i/>
          <w:color w:val="565450"/>
          <w:sz w:val="20"/>
          <w:szCs w:val="20"/>
        </w:rPr>
        <w:t xml:space="preserve">Źródło: Ogólnopolskie Badanie Wynagrodzeń (OBW) </w:t>
      </w:r>
      <w:r w:rsidRPr="00127BF8">
        <w:rPr>
          <w:rStyle w:val="rdoZnak"/>
          <w:rFonts w:cstheme="minorHAnsi"/>
        </w:rPr>
        <w:t>przeprowadzone</w:t>
      </w:r>
      <w:r w:rsidRPr="00127BF8">
        <w:rPr>
          <w:rFonts w:cstheme="minorHAnsi"/>
          <w:i/>
          <w:color w:val="565450"/>
          <w:sz w:val="20"/>
          <w:szCs w:val="20"/>
        </w:rPr>
        <w:t xml:space="preserve"> przez Sedlak </w:t>
      </w:r>
      <w:r w:rsidRPr="00127BF8">
        <w:rPr>
          <w:rFonts w:cstheme="minorHAnsi"/>
          <w:i/>
          <w:color w:val="565450"/>
          <w:sz w:val="14"/>
          <w:szCs w:val="14"/>
        </w:rPr>
        <w:t>&amp;</w:t>
      </w:r>
      <w:r w:rsidRPr="00127BF8">
        <w:rPr>
          <w:rFonts w:cstheme="minorHAnsi"/>
          <w:i/>
          <w:color w:val="565450"/>
          <w:sz w:val="20"/>
          <w:szCs w:val="20"/>
        </w:rPr>
        <w:t xml:space="preserve"> Sedlak w 2016 roku</w:t>
      </w:r>
    </w:p>
    <w:p w:rsidR="00127BF8" w:rsidRPr="00127BF8" w:rsidRDefault="00127BF8" w:rsidP="00127BF8">
      <w:pPr>
        <w:pStyle w:val="tekstsedlak"/>
        <w:jc w:val="center"/>
        <w:rPr>
          <w:rFonts w:cstheme="minorHAnsi"/>
        </w:rPr>
      </w:pPr>
    </w:p>
    <w:p w:rsidR="00127BF8" w:rsidRPr="00127BF8" w:rsidRDefault="00127BF8" w:rsidP="00127BF8">
      <w:pPr>
        <w:pStyle w:val="tekstsedlak"/>
        <w:jc w:val="center"/>
        <w:rPr>
          <w:rFonts w:cstheme="minorHAnsi"/>
        </w:rPr>
      </w:pPr>
    </w:p>
    <w:p w:rsidR="00127BF8" w:rsidRPr="00127BF8" w:rsidRDefault="00127BF8" w:rsidP="00127BF8">
      <w:pPr>
        <w:spacing w:line="276" w:lineRule="auto"/>
        <w:jc w:val="center"/>
        <w:rPr>
          <w:rFonts w:asciiTheme="minorHAnsi" w:hAnsiTheme="minorHAnsi" w:cstheme="minorHAnsi"/>
        </w:rPr>
      </w:pPr>
      <w:r w:rsidRPr="00127BF8">
        <w:rPr>
          <w:rFonts w:asciiTheme="minorHAnsi" w:hAnsiTheme="minorHAnsi" w:cstheme="minorHAnsi"/>
        </w:rPr>
        <w:t xml:space="preserve">Więcej danych na temat wynagrodzeń różnych zawodach i na różnych stanowiskach znajdą Państwo w aplikacji </w:t>
      </w:r>
      <w:hyperlink r:id="rId19" w:history="1">
        <w:r w:rsidRPr="00127BF8">
          <w:rPr>
            <w:rStyle w:val="Hipercze"/>
            <w:rFonts w:asciiTheme="minorHAnsi" w:hAnsiTheme="minorHAnsi" w:cstheme="minorHAnsi"/>
          </w:rPr>
          <w:t>Moja Płaca</w:t>
        </w:r>
      </w:hyperlink>
      <w:r w:rsidRPr="00127BF8">
        <w:rPr>
          <w:rFonts w:asciiTheme="minorHAnsi" w:hAnsiTheme="minorHAnsi" w:cstheme="minorHAnsi"/>
        </w:rPr>
        <w:t>.</w:t>
      </w:r>
    </w:p>
    <w:p w:rsidR="00127BF8" w:rsidRPr="00127BF8" w:rsidRDefault="00127BF8" w:rsidP="00127BF8">
      <w:pPr>
        <w:spacing w:line="276" w:lineRule="auto"/>
        <w:rPr>
          <w:rFonts w:asciiTheme="minorHAnsi" w:hAnsiTheme="minorHAnsi" w:cstheme="minorHAnsi"/>
        </w:rPr>
      </w:pPr>
    </w:p>
    <w:p w:rsidR="00127BF8" w:rsidRPr="00127BF8" w:rsidRDefault="00127BF8" w:rsidP="00127BF8">
      <w:pPr>
        <w:spacing w:line="276" w:lineRule="auto"/>
        <w:rPr>
          <w:rFonts w:asciiTheme="minorHAnsi" w:hAnsiTheme="minorHAnsi" w:cstheme="minorHAnsi"/>
        </w:rPr>
      </w:pPr>
      <w:r w:rsidRPr="00127BF8">
        <w:rPr>
          <w:rFonts w:asciiTheme="minorHAnsi" w:hAnsiTheme="minorHAnsi" w:cstheme="minorHAnsi"/>
        </w:rPr>
        <w:t>Zapraszamy do uczestnictwa w tegorocznej edycji Ogólnopolskiego badania wynagrodzeń.</w:t>
      </w:r>
    </w:p>
    <w:p w:rsidR="00127BF8" w:rsidRPr="00127BF8" w:rsidRDefault="00127BF8" w:rsidP="00127BF8">
      <w:pPr>
        <w:spacing w:line="276" w:lineRule="auto"/>
        <w:jc w:val="center"/>
        <w:rPr>
          <w:rFonts w:asciiTheme="minorHAnsi" w:hAnsiTheme="minorHAnsi" w:cstheme="minorHAnsi"/>
        </w:rPr>
      </w:pPr>
      <w:r w:rsidRPr="00127BF8">
        <w:rPr>
          <w:rFonts w:asciiTheme="minorHAnsi" w:hAnsiTheme="minorHAnsi" w:cstheme="minorHAnsi"/>
        </w:rPr>
        <w:t xml:space="preserve">Ankietę do badania można znaleźć </w:t>
      </w:r>
      <w:hyperlink r:id="rId20" w:history="1">
        <w:r w:rsidRPr="00127BF8">
          <w:rPr>
            <w:rStyle w:val="Hipercze"/>
            <w:rFonts w:asciiTheme="minorHAnsi" w:hAnsiTheme="minorHAnsi" w:cstheme="minorHAnsi"/>
          </w:rPr>
          <w:t>tutaj</w:t>
        </w:r>
      </w:hyperlink>
      <w:r w:rsidRPr="00127BF8">
        <w:rPr>
          <w:rFonts w:asciiTheme="minorHAnsi" w:hAnsiTheme="minorHAnsi" w:cstheme="minorHAnsi"/>
        </w:rPr>
        <w:t>.</w:t>
      </w:r>
    </w:p>
    <w:p w:rsidR="00127BF8" w:rsidRPr="00127BF8" w:rsidRDefault="00127BF8" w:rsidP="00127BF8">
      <w:pPr>
        <w:spacing w:line="276" w:lineRule="auto"/>
        <w:jc w:val="center"/>
        <w:rPr>
          <w:rFonts w:asciiTheme="minorHAnsi" w:hAnsiTheme="minorHAnsi" w:cstheme="minorHAnsi"/>
        </w:rPr>
      </w:pPr>
    </w:p>
    <w:p w:rsidR="00127BF8" w:rsidRPr="00127BF8" w:rsidRDefault="00127BF8" w:rsidP="00127BF8">
      <w:pPr>
        <w:spacing w:line="276" w:lineRule="auto"/>
        <w:jc w:val="center"/>
        <w:rPr>
          <w:rFonts w:asciiTheme="minorHAnsi" w:hAnsiTheme="minorHAnsi" w:cstheme="minorHAnsi"/>
        </w:rPr>
      </w:pPr>
    </w:p>
    <w:p w:rsidR="00127BF8" w:rsidRPr="00127BF8" w:rsidRDefault="00127BF8" w:rsidP="00127BF8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127BF8">
        <w:rPr>
          <w:rFonts w:asciiTheme="minorHAnsi" w:hAnsiTheme="minorHAnsi" w:cstheme="minorHAnsi"/>
          <w:color w:val="000000"/>
        </w:rPr>
        <w:t xml:space="preserve">Jeżeli są Państwo zainteresowani zamówieniem szczegółowego raportu na temat wynagrodzeń w konkretnym regionie, wybranej branży czy grupie zawodowej zapraszamy do złożenia </w:t>
      </w:r>
      <w:hyperlink r:id="rId21" w:history="1">
        <w:r w:rsidRPr="00127BF8">
          <w:rPr>
            <w:rFonts w:asciiTheme="minorHAnsi" w:hAnsiTheme="minorHAnsi" w:cstheme="minorHAnsi"/>
            <w:color w:val="0000FF"/>
          </w:rPr>
          <w:t>zamówienia</w:t>
        </w:r>
      </w:hyperlink>
      <w:r w:rsidRPr="00127BF8">
        <w:rPr>
          <w:rFonts w:asciiTheme="minorHAnsi" w:hAnsiTheme="minorHAnsi" w:cstheme="minorHAnsi"/>
          <w:color w:val="000000"/>
        </w:rPr>
        <w:t>.</w:t>
      </w:r>
    </w:p>
    <w:p w:rsidR="00127BF8" w:rsidRPr="00127BF8" w:rsidRDefault="00127BF8" w:rsidP="00127BF8">
      <w:pPr>
        <w:pStyle w:val="tekstsedlak"/>
        <w:rPr>
          <w:rFonts w:cstheme="minorHAnsi"/>
        </w:rPr>
      </w:pPr>
    </w:p>
    <w:p w:rsidR="00127BF8" w:rsidRPr="00127BF8" w:rsidRDefault="00127BF8" w:rsidP="00127BF8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127BF8">
        <w:rPr>
          <w:rFonts w:asciiTheme="minorHAnsi" w:hAnsiTheme="minorHAnsi" w:cstheme="minorHAnsi"/>
          <w:b/>
        </w:rPr>
        <w:t>Wyjaśnienie terminów użytych w artykule:</w:t>
      </w:r>
    </w:p>
    <w:p w:rsidR="00127BF8" w:rsidRPr="00127BF8" w:rsidRDefault="00127BF8" w:rsidP="00127BF8">
      <w:pPr>
        <w:spacing w:line="276" w:lineRule="auto"/>
        <w:rPr>
          <w:rFonts w:asciiTheme="minorHAnsi" w:hAnsiTheme="minorHAnsi" w:cstheme="minorHAnsi"/>
        </w:rPr>
      </w:pPr>
      <w:r w:rsidRPr="00127BF8">
        <w:rPr>
          <w:rFonts w:asciiTheme="minorHAnsi" w:hAnsiTheme="minorHAnsi" w:cstheme="minorHAnsi"/>
        </w:rPr>
        <w:br/>
      </w:r>
      <w:r w:rsidRPr="00127BF8">
        <w:rPr>
          <w:rFonts w:asciiTheme="minorHAnsi" w:hAnsiTheme="minorHAnsi" w:cstheme="minorHAnsi"/>
          <w:b/>
        </w:rPr>
        <w:t>wynagrodzenie całkowite</w:t>
      </w:r>
      <w:r w:rsidRPr="00127BF8">
        <w:rPr>
          <w:rFonts w:asciiTheme="minorHAnsi" w:hAnsiTheme="minorHAnsi" w:cstheme="minorHAnsi"/>
        </w:rPr>
        <w:t xml:space="preserve"> – miesięczne wynagrodzenie brutto przysługujące pracownikowi z uwzględnieniem wszystkich ruchomych dodatków pieniężnych, takich jak: premie, nagrody i inne;</w:t>
      </w:r>
      <w:r w:rsidRPr="00127BF8">
        <w:rPr>
          <w:rFonts w:asciiTheme="minorHAnsi" w:hAnsiTheme="minorHAnsi" w:cstheme="minorHAnsi"/>
        </w:rPr>
        <w:br/>
      </w:r>
      <w:r w:rsidRPr="00127BF8">
        <w:rPr>
          <w:rFonts w:asciiTheme="minorHAnsi" w:hAnsiTheme="minorHAnsi" w:cstheme="minorHAnsi"/>
        </w:rPr>
        <w:br/>
      </w:r>
      <w:r w:rsidRPr="00127BF8">
        <w:rPr>
          <w:rFonts w:asciiTheme="minorHAnsi" w:hAnsiTheme="minorHAnsi" w:cstheme="minorHAnsi"/>
          <w:b/>
        </w:rPr>
        <w:t>mediana</w:t>
      </w:r>
      <w:r w:rsidRPr="00127BF8">
        <w:rPr>
          <w:rFonts w:asciiTheme="minorHAnsi" w:hAnsiTheme="minorHAnsi" w:cstheme="minorHAnsi"/>
        </w:rPr>
        <w:t xml:space="preserve"> – wartość dzieląca wszystkie dane na pół. Poniżej i powyżej mediany znajduje się dokładnie po 50% danych. Innymi słowy, jeżeli </w:t>
      </w:r>
      <w:hyperlink r:id="rId22" w:history="1">
        <w:r w:rsidRPr="00127BF8">
          <w:rPr>
            <w:rFonts w:asciiTheme="minorHAnsi" w:hAnsiTheme="minorHAnsi" w:cstheme="minorHAnsi"/>
          </w:rPr>
          <w:t>mediana</w:t>
        </w:r>
      </w:hyperlink>
      <w:r w:rsidRPr="00127BF8">
        <w:rPr>
          <w:rFonts w:asciiTheme="minorHAnsi" w:hAnsiTheme="minorHAnsi" w:cstheme="minorHAnsi"/>
        </w:rPr>
        <w:t xml:space="preserve"> wynosi 3 000 PLN, to znaczy, że wynagrodzenie na danym stanowisku jest w połowie zakładów niższe, a w połowie wyższe od 3 000 PLN. </w:t>
      </w:r>
      <w:hyperlink r:id="rId23" w:history="1">
        <w:r w:rsidRPr="00127BF8">
          <w:rPr>
            <w:rFonts w:asciiTheme="minorHAnsi" w:hAnsiTheme="minorHAnsi" w:cstheme="minorHAnsi"/>
          </w:rPr>
          <w:t>Mediana</w:t>
        </w:r>
      </w:hyperlink>
      <w:r w:rsidRPr="00127BF8">
        <w:rPr>
          <w:rFonts w:asciiTheme="minorHAnsi" w:hAnsiTheme="minorHAnsi" w:cstheme="minorHAnsi"/>
        </w:rPr>
        <w:t xml:space="preserve"> jest miarą statystyczną, która lepiej niż średnia, oddaje tendencję centralną wyników, ponieważ średnia może być zaburzona przez wyniki skrajne;</w:t>
      </w:r>
      <w:r w:rsidRPr="00127BF8">
        <w:rPr>
          <w:rFonts w:asciiTheme="minorHAnsi" w:hAnsiTheme="minorHAnsi" w:cstheme="minorHAnsi"/>
        </w:rPr>
        <w:br/>
      </w:r>
      <w:r w:rsidRPr="00127BF8">
        <w:rPr>
          <w:rFonts w:asciiTheme="minorHAnsi" w:hAnsiTheme="minorHAnsi" w:cstheme="minorHAnsi"/>
        </w:rPr>
        <w:br/>
      </w:r>
      <w:proofErr w:type="spellStart"/>
      <w:r w:rsidRPr="00127BF8">
        <w:rPr>
          <w:rFonts w:asciiTheme="minorHAnsi" w:hAnsiTheme="minorHAnsi" w:cstheme="minorHAnsi"/>
          <w:b/>
        </w:rPr>
        <w:t>górnykwartyl</w:t>
      </w:r>
      <w:proofErr w:type="spellEnd"/>
      <w:r w:rsidRPr="00127BF8">
        <w:rPr>
          <w:rFonts w:asciiTheme="minorHAnsi" w:hAnsiTheme="minorHAnsi" w:cstheme="minorHAnsi"/>
        </w:rPr>
        <w:t xml:space="preserve"> – wartość, powyżej której mieści się 25% danych. Innymi słowy, jeżeli górny </w:t>
      </w:r>
      <w:proofErr w:type="spellStart"/>
      <w:r w:rsidRPr="00127BF8">
        <w:rPr>
          <w:rFonts w:asciiTheme="minorHAnsi" w:hAnsiTheme="minorHAnsi" w:cstheme="minorHAnsi"/>
        </w:rPr>
        <w:t>kwartyl</w:t>
      </w:r>
      <w:proofErr w:type="spellEnd"/>
      <w:r w:rsidRPr="00127BF8">
        <w:rPr>
          <w:rFonts w:asciiTheme="minorHAnsi" w:hAnsiTheme="minorHAnsi" w:cstheme="minorHAnsi"/>
        </w:rPr>
        <w:t xml:space="preserve"> wynosi 5 500 PLN, to 75% osób zatrudnionych na danym stanowisku zarabia poniżej, a 25% powyżej 5 500 PLN;</w:t>
      </w:r>
      <w:r w:rsidRPr="00127BF8">
        <w:rPr>
          <w:rFonts w:asciiTheme="minorHAnsi" w:hAnsiTheme="minorHAnsi" w:cstheme="minorHAnsi"/>
        </w:rPr>
        <w:br/>
      </w:r>
      <w:r w:rsidRPr="00127BF8">
        <w:rPr>
          <w:rFonts w:asciiTheme="minorHAnsi" w:hAnsiTheme="minorHAnsi" w:cstheme="minorHAnsi"/>
        </w:rPr>
        <w:br/>
      </w:r>
      <w:proofErr w:type="spellStart"/>
      <w:r w:rsidRPr="00127BF8">
        <w:rPr>
          <w:rFonts w:asciiTheme="minorHAnsi" w:hAnsiTheme="minorHAnsi" w:cstheme="minorHAnsi"/>
          <w:b/>
        </w:rPr>
        <w:t>dolnykwartyl</w:t>
      </w:r>
      <w:proofErr w:type="spellEnd"/>
      <w:r w:rsidRPr="00127BF8">
        <w:rPr>
          <w:rFonts w:asciiTheme="minorHAnsi" w:hAnsiTheme="minorHAnsi" w:cstheme="minorHAnsi"/>
        </w:rPr>
        <w:t xml:space="preserve"> – wartość, poniżej której mieści się 25% danych. Innymi słowy, jeżeli dolny </w:t>
      </w:r>
      <w:proofErr w:type="spellStart"/>
      <w:r w:rsidRPr="00127BF8">
        <w:rPr>
          <w:rFonts w:asciiTheme="minorHAnsi" w:hAnsiTheme="minorHAnsi" w:cstheme="minorHAnsi"/>
        </w:rPr>
        <w:t>kwartyl</w:t>
      </w:r>
      <w:proofErr w:type="spellEnd"/>
      <w:r w:rsidRPr="00127BF8">
        <w:rPr>
          <w:rFonts w:asciiTheme="minorHAnsi" w:hAnsiTheme="minorHAnsi" w:cstheme="minorHAnsi"/>
        </w:rPr>
        <w:t xml:space="preserve"> wynosi 2 000 PLN, to 25% osób zatrudnionych na danym stanowisku zarabia poniżej, a 75% powyżej 2 000 PLN.</w:t>
      </w:r>
    </w:p>
    <w:p w:rsidR="00127BF8" w:rsidRPr="00127BF8" w:rsidRDefault="00127BF8" w:rsidP="00127BF8">
      <w:pPr>
        <w:spacing w:line="276" w:lineRule="auto"/>
        <w:rPr>
          <w:rFonts w:asciiTheme="minorHAnsi" w:hAnsiTheme="minorHAnsi" w:cstheme="minorHAnsi"/>
        </w:rPr>
      </w:pPr>
    </w:p>
    <w:p w:rsidR="00E52BE5" w:rsidRPr="00E52BE5" w:rsidRDefault="00E52BE5" w:rsidP="00E52BE5">
      <w:pPr>
        <w:spacing w:line="276" w:lineRule="auto"/>
        <w:jc w:val="both"/>
        <w:rPr>
          <w:rFonts w:ascii="Calibri" w:hAnsi="Calibri"/>
          <w:szCs w:val="22"/>
          <w:lang w:eastAsia="pl-PL"/>
        </w:rPr>
      </w:pPr>
    </w:p>
    <w:p w:rsidR="00A31385" w:rsidRPr="0058086E" w:rsidRDefault="00A31385" w:rsidP="0058086E">
      <w:pPr>
        <w:pStyle w:val="tekstsedlak"/>
      </w:pPr>
    </w:p>
    <w:p w:rsidR="0000005A" w:rsidRPr="00A217F4" w:rsidRDefault="0000005A" w:rsidP="00BC1378">
      <w:pPr>
        <w:spacing w:line="276" w:lineRule="auto"/>
        <w:rPr>
          <w:rFonts w:asciiTheme="minorHAnsi" w:eastAsiaTheme="minorHAnsi" w:hAnsiTheme="minorHAnsi"/>
          <w:lang w:eastAsia="pl-PL"/>
        </w:rPr>
      </w:pP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E80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linku do strony 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26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E107E8">
      <w:headerReference w:type="default" r:id="rId27"/>
      <w:footerReference w:type="default" r:id="rId28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73E3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806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19"/>
  </w:num>
  <w:num w:numId="8">
    <w:abstractNumId w:val="6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5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5649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27BF8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0079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  <w:style w:type="paragraph" w:customStyle="1" w:styleId="PodtytuSedlak">
    <w:name w:val="PodtytułSedlak"/>
    <w:basedOn w:val="Normalny"/>
    <w:link w:val="PodtytuSedlakZnak"/>
    <w:qFormat/>
    <w:rsid w:val="00127BF8"/>
    <w:pPr>
      <w:spacing w:line="276" w:lineRule="auto"/>
      <w:jc w:val="both"/>
    </w:pPr>
    <w:rPr>
      <w:rFonts w:asciiTheme="minorHAnsi" w:eastAsiaTheme="minorHAnsi" w:hAnsiTheme="minorHAnsi" w:cs="Arial"/>
      <w:b/>
      <w:color w:val="002060"/>
      <w:sz w:val="26"/>
    </w:rPr>
  </w:style>
  <w:style w:type="character" w:customStyle="1" w:styleId="PodtytuSedlakZnak">
    <w:name w:val="PodtytułSedlak Znak"/>
    <w:basedOn w:val="Domylnaczcionkaakapitu"/>
    <w:link w:val="PodtytuSedlak"/>
    <w:rsid w:val="00127BF8"/>
    <w:rPr>
      <w:rFonts w:asciiTheme="minorHAnsi" w:eastAsiaTheme="minorHAnsi" w:hAnsiTheme="minorHAnsi" w:cs="Arial"/>
      <w:b/>
      <w:color w:val="002060"/>
      <w:sz w:val="26"/>
      <w:szCs w:val="24"/>
      <w:lang w:eastAsia="en-US"/>
    </w:rPr>
  </w:style>
  <w:style w:type="character" w:customStyle="1" w:styleId="cldarkblue">
    <w:name w:val="cldarkblue"/>
    <w:basedOn w:val="Domylnaczcionkaakapitu"/>
    <w:rsid w:val="00127BF8"/>
  </w:style>
  <w:style w:type="paragraph" w:customStyle="1" w:styleId="rdo">
    <w:name w:val="źródło"/>
    <w:basedOn w:val="Normalny"/>
    <w:link w:val="rdoZnak"/>
    <w:qFormat/>
    <w:rsid w:val="00127BF8"/>
    <w:pPr>
      <w:spacing w:after="160" w:line="259" w:lineRule="auto"/>
      <w:jc w:val="center"/>
    </w:pPr>
    <w:rPr>
      <w:rFonts w:asciiTheme="minorHAnsi" w:eastAsiaTheme="minorHAnsi" w:hAnsiTheme="minorHAnsi" w:cstheme="minorBidi"/>
      <w:i/>
      <w:color w:val="565450"/>
      <w:sz w:val="20"/>
      <w:szCs w:val="20"/>
    </w:rPr>
  </w:style>
  <w:style w:type="character" w:customStyle="1" w:styleId="rdoZnak">
    <w:name w:val="źródło Znak"/>
    <w:basedOn w:val="Domylnaczcionkaakapitu"/>
    <w:link w:val="rdo"/>
    <w:rsid w:val="00127BF8"/>
    <w:rPr>
      <w:rFonts w:asciiTheme="minorHAnsi" w:eastAsiaTheme="minorHAnsi" w:hAnsiTheme="minorHAnsi" w:cstheme="minorBidi"/>
      <w:i/>
      <w:color w:val="56545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Layout" Target="diagrams/layout1.xml"/><Relationship Id="rId18" Type="http://schemas.openxmlformats.org/officeDocument/2006/relationships/chart" Target="charts/chart2.xml"/><Relationship Id="rId26" Type="http://schemas.openxmlformats.org/officeDocument/2006/relationships/hyperlink" Target="http://wynagrodzenia.pl/t/ogolnopolskie-badanie-wynagrodzen-np" TargetMode="External"/><Relationship Id="rId3" Type="http://schemas.openxmlformats.org/officeDocument/2006/relationships/styles" Target="styles.xml"/><Relationship Id="rId21" Type="http://schemas.openxmlformats.org/officeDocument/2006/relationships/hyperlink" Target="http://wynagrodzenia.pl/kontakt_" TargetMode="Externa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chart" Target="charts/chart1.xml"/><Relationship Id="rId25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hyperlink" Target="http://wynagrodzenia.pl/ogolnopolskie-badanie-wynagrodze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auka.gov.pl/uczelnie-publiczne/wykaz-uczelni-publicznych-nadzorowanych-przez-ministra-wlasciwego-ds-szkolnictwa-wyzszego-publiczne-uczelnie-akademickie.html" TargetMode="External"/><Relationship Id="rId24" Type="http://schemas.openxmlformats.org/officeDocument/2006/relationships/hyperlink" Target="http://www.wynagrodzenia.pl/" TargetMode="Externa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hyperlink" Target="http://www.wynagrodzenia.pl/slownik_1.php/wpis.57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ynagrodzenia.pl/moja-placa" TargetMode="External"/><Relationship Id="rId19" Type="http://schemas.openxmlformats.org/officeDocument/2006/relationships/hyperlink" Target="http://wynagrodzenia.pl/moja-plac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diagramQuickStyle" Target="diagrams/quickStyle1.xml"/><Relationship Id="rId22" Type="http://schemas.openxmlformats.org/officeDocument/2006/relationships/hyperlink" Target="http://www.wynagrodzenia.pl/slownik_1.php/wpis.57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4\Krakow-Miodowa\wynagrodzenia\01-%20REDAKCJA\05%20-%20Zesp&#243;&#322;\03%20-%20&#321;ukasz%20Jaszcz\OBW\2017\uczelnie%202016\pa&#324;stwowe\publiczne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sassrvdc04\Krakow-Miodowa\wynagrodzenia\01-%20REDAKCJA\05%20-%20Zesp&#243;&#322;\03%20-%20&#321;ukasz%20Jaszcz\OBW\2017\uczelnie%202016\pa&#324;stwowe\publiczne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branże!$L$3:$L$10</c:f>
              <c:strCache>
                <c:ptCount val="8"/>
                <c:pt idx="0">
                  <c:v>usługi dla ludości</c:v>
                </c:pt>
                <c:pt idx="1">
                  <c:v>sektor publiczny</c:v>
                </c:pt>
                <c:pt idx="2">
                  <c:v>nauka, szkolnictwo</c:v>
                </c:pt>
                <c:pt idx="3">
                  <c:v>handel</c:v>
                </c:pt>
                <c:pt idx="4">
                  <c:v>usługi dla biznesu</c:v>
                </c:pt>
                <c:pt idx="5">
                  <c:v>przemysł lekki</c:v>
                </c:pt>
                <c:pt idx="6">
                  <c:v>bankowość</c:v>
                </c:pt>
                <c:pt idx="7">
                  <c:v>technologie informatyczne (IT)</c:v>
                </c:pt>
              </c:strCache>
            </c:strRef>
          </c:cat>
          <c:val>
            <c:numRef>
              <c:f>branże!$O$3:$O$10</c:f>
              <c:numCache>
                <c:formatCode>#,##0</c:formatCode>
                <c:ptCount val="8"/>
                <c:pt idx="0">
                  <c:v>3300</c:v>
                </c:pt>
                <c:pt idx="1">
                  <c:v>3310</c:v>
                </c:pt>
                <c:pt idx="2">
                  <c:v>3349</c:v>
                </c:pt>
                <c:pt idx="3">
                  <c:v>4322.5</c:v>
                </c:pt>
                <c:pt idx="4">
                  <c:v>4500</c:v>
                </c:pt>
                <c:pt idx="5">
                  <c:v>5000</c:v>
                </c:pt>
                <c:pt idx="6">
                  <c:v>5740</c:v>
                </c:pt>
                <c:pt idx="7">
                  <c:v>6000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679-417E-9341-BA90F8A3779E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117295744"/>
        <c:axId val="74252672"/>
      </c:barChart>
      <c:catAx>
        <c:axId val="1172957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74252672"/>
        <c:crosses val="autoZero"/>
        <c:auto val="1"/>
        <c:lblAlgn val="ctr"/>
        <c:lblOffset val="100"/>
        <c:noMultiLvlLbl val="0"/>
      </c:catAx>
      <c:valAx>
        <c:axId val="74252672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17295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lang="pl-PL"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stanowisko!$W$3:$W$11</c:f>
              <c:strCache>
                <c:ptCount val="9"/>
                <c:pt idx="0">
                  <c:v>księgowy</c:v>
                </c:pt>
                <c:pt idx="1">
                  <c:v>specjalista ds. administracyjnych</c:v>
                </c:pt>
                <c:pt idx="2">
                  <c:v>specjalista ds. sprzedaży</c:v>
                </c:pt>
                <c:pt idx="3">
                  <c:v>specjalista ds. kadr i płac</c:v>
                </c:pt>
                <c:pt idx="4">
                  <c:v>specjalista ds. marketingu</c:v>
                </c:pt>
                <c:pt idx="5">
                  <c:v>prawnik</c:v>
                </c:pt>
                <c:pt idx="6">
                  <c:v>główny księgowy</c:v>
                </c:pt>
                <c:pt idx="7">
                  <c:v>radca prawny</c:v>
                </c:pt>
                <c:pt idx="8">
                  <c:v>kierownik projektu</c:v>
                </c:pt>
              </c:strCache>
            </c:strRef>
          </c:cat>
          <c:val>
            <c:numRef>
              <c:f>stanowisko!$Z$3:$Z$11</c:f>
              <c:numCache>
                <c:formatCode>#,##0</c:formatCode>
                <c:ptCount val="9"/>
                <c:pt idx="0">
                  <c:v>3542.5</c:v>
                </c:pt>
                <c:pt idx="1">
                  <c:v>3550</c:v>
                </c:pt>
                <c:pt idx="2">
                  <c:v>3700</c:v>
                </c:pt>
                <c:pt idx="3">
                  <c:v>3750</c:v>
                </c:pt>
                <c:pt idx="4">
                  <c:v>4000</c:v>
                </c:pt>
                <c:pt idx="5">
                  <c:v>4200</c:v>
                </c:pt>
                <c:pt idx="6">
                  <c:v>5950</c:v>
                </c:pt>
                <c:pt idx="7">
                  <c:v>6425</c:v>
                </c:pt>
                <c:pt idx="8">
                  <c:v>7000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8A-4957-B7E3-E5071B55831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74263936"/>
        <c:axId val="74286208"/>
      </c:barChart>
      <c:catAx>
        <c:axId val="74263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ctr">
              <a:defRPr lang="pl-PL"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74286208"/>
        <c:crosses val="autoZero"/>
        <c:auto val="1"/>
        <c:lblAlgn val="ctr"/>
        <c:lblOffset val="100"/>
        <c:noMultiLvlLbl val="0"/>
      </c:catAx>
      <c:valAx>
        <c:axId val="74286208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 algn="ctr">
              <a:defRPr lang="pl-PL" sz="1200" b="0" i="0" u="none" strike="noStrike" kern="1200" baseline="0">
                <a:solidFill>
                  <a:schemeClr val="tx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74263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F101B5B-C9EC-4FA6-8327-507CA099F14C}" type="doc">
      <dgm:prSet loTypeId="urn:microsoft.com/office/officeart/2008/layout/VerticalCurvedList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pl-PL"/>
        </a:p>
      </dgm:t>
    </dgm:pt>
    <dgm:pt modelId="{FEFA43A9-6318-4BEF-8808-262140F4991F}">
      <dgm:prSet phldrT="[Tekst]"/>
      <dgm:spPr/>
      <dgm:t>
        <a:bodyPr/>
        <a:lstStyle/>
        <a:p>
          <a:pPr algn="l"/>
          <a:r>
            <a:rPr lang="pl-PL"/>
            <a:t>25% zarabiało nie mniej niż 6 320 PLN</a:t>
          </a:r>
        </a:p>
      </dgm:t>
    </dgm:pt>
    <dgm:pt modelId="{DAF5E353-ABDF-4A3C-BB8C-5ACA8F605500}" type="parTrans" cxnId="{754B81D3-43BC-41ED-9316-DDD7E3FC007C}">
      <dgm:prSet/>
      <dgm:spPr/>
      <dgm:t>
        <a:bodyPr/>
        <a:lstStyle/>
        <a:p>
          <a:pPr algn="l"/>
          <a:endParaRPr lang="pl-PL"/>
        </a:p>
      </dgm:t>
    </dgm:pt>
    <dgm:pt modelId="{58C56840-3FA1-4C53-B398-780F92137047}" type="sibTrans" cxnId="{754B81D3-43BC-41ED-9316-DDD7E3FC007C}">
      <dgm:prSet/>
      <dgm:spPr/>
      <dgm:t>
        <a:bodyPr/>
        <a:lstStyle/>
        <a:p>
          <a:pPr algn="l"/>
          <a:endParaRPr lang="pl-PL"/>
        </a:p>
      </dgm:t>
    </dgm:pt>
    <dgm:pt modelId="{F66A8FFB-D31B-4D12-B1FB-F542B3D1E75D}">
      <dgm:prSet phldrT="[Tekst]"/>
      <dgm:spPr/>
      <dgm:t>
        <a:bodyPr/>
        <a:lstStyle/>
        <a:p>
          <a:pPr algn="l"/>
          <a:r>
            <a:rPr lang="pl-PL"/>
            <a:t>mediana 4 200 PLN</a:t>
          </a:r>
        </a:p>
      </dgm:t>
    </dgm:pt>
    <dgm:pt modelId="{971D9971-0CA7-411B-A7BA-017659C30C29}" type="parTrans" cxnId="{E532FAB4-0343-4A09-BAFF-B14480E965A0}">
      <dgm:prSet/>
      <dgm:spPr/>
      <dgm:t>
        <a:bodyPr/>
        <a:lstStyle/>
        <a:p>
          <a:pPr algn="l"/>
          <a:endParaRPr lang="pl-PL"/>
        </a:p>
      </dgm:t>
    </dgm:pt>
    <dgm:pt modelId="{536D6BFE-7908-4CC2-80D0-9FCB6F630DA6}" type="sibTrans" cxnId="{E532FAB4-0343-4A09-BAFF-B14480E965A0}">
      <dgm:prSet/>
      <dgm:spPr/>
      <dgm:t>
        <a:bodyPr/>
        <a:lstStyle/>
        <a:p>
          <a:pPr algn="l"/>
          <a:endParaRPr lang="pl-PL"/>
        </a:p>
      </dgm:t>
    </dgm:pt>
    <dgm:pt modelId="{934EADF2-0590-438B-A4D1-AA5C5BD3A304}">
      <dgm:prSet phldrT="[Tekst]"/>
      <dgm:spPr/>
      <dgm:t>
        <a:bodyPr/>
        <a:lstStyle/>
        <a:p>
          <a:pPr algn="l"/>
          <a:r>
            <a:rPr lang="pl-PL"/>
            <a:t>25% zarabiało nie więcej niż 3 000 PLN</a:t>
          </a:r>
        </a:p>
      </dgm:t>
    </dgm:pt>
    <dgm:pt modelId="{9AE0D5FE-BB00-4E59-95D9-905B393F4558}" type="parTrans" cxnId="{940FF844-A215-42BF-9950-132BA18BFA54}">
      <dgm:prSet/>
      <dgm:spPr/>
      <dgm:t>
        <a:bodyPr/>
        <a:lstStyle/>
        <a:p>
          <a:pPr algn="l"/>
          <a:endParaRPr lang="pl-PL"/>
        </a:p>
      </dgm:t>
    </dgm:pt>
    <dgm:pt modelId="{EB40DEE1-9150-4012-A784-815F5A104FC3}" type="sibTrans" cxnId="{940FF844-A215-42BF-9950-132BA18BFA54}">
      <dgm:prSet/>
      <dgm:spPr/>
      <dgm:t>
        <a:bodyPr/>
        <a:lstStyle/>
        <a:p>
          <a:pPr algn="l"/>
          <a:endParaRPr lang="pl-PL"/>
        </a:p>
      </dgm:t>
    </dgm:pt>
    <dgm:pt modelId="{DF0E1B6A-CE85-4BEE-B871-8C5A10BDCC2D}" type="pres">
      <dgm:prSet presAssocID="{9F101B5B-C9EC-4FA6-8327-507CA099F14C}" presName="Name0" presStyleCnt="0">
        <dgm:presLayoutVars>
          <dgm:chMax val="7"/>
          <dgm:chPref val="7"/>
          <dgm:dir/>
        </dgm:presLayoutVars>
      </dgm:prSet>
      <dgm:spPr/>
    </dgm:pt>
    <dgm:pt modelId="{D2E0888B-FAA6-4DCD-B294-577772001ED2}" type="pres">
      <dgm:prSet presAssocID="{9F101B5B-C9EC-4FA6-8327-507CA099F14C}" presName="Name1" presStyleCnt="0"/>
      <dgm:spPr/>
    </dgm:pt>
    <dgm:pt modelId="{2EBE5D2D-D9E0-4D77-B63F-67400E45AAA9}" type="pres">
      <dgm:prSet presAssocID="{9F101B5B-C9EC-4FA6-8327-507CA099F14C}" presName="cycle" presStyleCnt="0"/>
      <dgm:spPr/>
    </dgm:pt>
    <dgm:pt modelId="{5526C240-7922-46B2-94A0-7EB95D0C7D74}" type="pres">
      <dgm:prSet presAssocID="{9F101B5B-C9EC-4FA6-8327-507CA099F14C}" presName="srcNode" presStyleLbl="node1" presStyleIdx="0" presStyleCnt="3"/>
      <dgm:spPr/>
    </dgm:pt>
    <dgm:pt modelId="{AB1768B3-20B6-478F-9E25-00E00228A5D4}" type="pres">
      <dgm:prSet presAssocID="{9F101B5B-C9EC-4FA6-8327-507CA099F14C}" presName="conn" presStyleLbl="parChTrans1D2" presStyleIdx="0" presStyleCnt="1"/>
      <dgm:spPr/>
    </dgm:pt>
    <dgm:pt modelId="{6F01C4D2-5118-4272-B0CB-D900241C7707}" type="pres">
      <dgm:prSet presAssocID="{9F101B5B-C9EC-4FA6-8327-507CA099F14C}" presName="extraNode" presStyleLbl="node1" presStyleIdx="0" presStyleCnt="3"/>
      <dgm:spPr/>
    </dgm:pt>
    <dgm:pt modelId="{B188B625-D777-4B01-BAD6-C926F81A1351}" type="pres">
      <dgm:prSet presAssocID="{9F101B5B-C9EC-4FA6-8327-507CA099F14C}" presName="dstNode" presStyleLbl="node1" presStyleIdx="0" presStyleCnt="3"/>
      <dgm:spPr/>
    </dgm:pt>
    <dgm:pt modelId="{93C61F3B-8CB4-4BC0-8123-4819A85AB99C}" type="pres">
      <dgm:prSet presAssocID="{FEFA43A9-6318-4BEF-8808-262140F4991F}" presName="text_1" presStyleLbl="node1" presStyleIdx="0" presStyleCnt="3">
        <dgm:presLayoutVars>
          <dgm:bulletEnabled val="1"/>
        </dgm:presLayoutVars>
      </dgm:prSet>
      <dgm:spPr/>
    </dgm:pt>
    <dgm:pt modelId="{4A5CEC6A-59B6-4534-A162-F074111613C5}" type="pres">
      <dgm:prSet presAssocID="{FEFA43A9-6318-4BEF-8808-262140F4991F}" presName="accent_1" presStyleCnt="0"/>
      <dgm:spPr/>
    </dgm:pt>
    <dgm:pt modelId="{093BC1D2-A4D2-4D4E-9CA6-F0D58022ED22}" type="pres">
      <dgm:prSet presAssocID="{FEFA43A9-6318-4BEF-8808-262140F4991F}" presName="accentRepeatNode" presStyleLbl="solidFgAcc1" presStyleIdx="0" presStyleCnt="3"/>
      <dgm:spPr/>
    </dgm:pt>
    <dgm:pt modelId="{D4AB7590-A8A7-4260-9AB5-8172084D5D62}" type="pres">
      <dgm:prSet presAssocID="{F66A8FFB-D31B-4D12-B1FB-F542B3D1E75D}" presName="text_2" presStyleLbl="node1" presStyleIdx="1" presStyleCnt="3">
        <dgm:presLayoutVars>
          <dgm:bulletEnabled val="1"/>
        </dgm:presLayoutVars>
      </dgm:prSet>
      <dgm:spPr/>
    </dgm:pt>
    <dgm:pt modelId="{4CA37E4F-25BF-42C1-B1E0-7A06273DA91D}" type="pres">
      <dgm:prSet presAssocID="{F66A8FFB-D31B-4D12-B1FB-F542B3D1E75D}" presName="accent_2" presStyleCnt="0"/>
      <dgm:spPr/>
    </dgm:pt>
    <dgm:pt modelId="{F7C11BE0-5A7A-4FB0-AF3D-9DFDF0DDF889}" type="pres">
      <dgm:prSet presAssocID="{F66A8FFB-D31B-4D12-B1FB-F542B3D1E75D}" presName="accentRepeatNode" presStyleLbl="solidFgAcc1" presStyleIdx="1" presStyleCnt="3"/>
      <dgm:spPr/>
    </dgm:pt>
    <dgm:pt modelId="{332895C5-41DC-4BAE-BE78-8B2D7F8A69BB}" type="pres">
      <dgm:prSet presAssocID="{934EADF2-0590-438B-A4D1-AA5C5BD3A304}" presName="text_3" presStyleLbl="node1" presStyleIdx="2" presStyleCnt="3">
        <dgm:presLayoutVars>
          <dgm:bulletEnabled val="1"/>
        </dgm:presLayoutVars>
      </dgm:prSet>
      <dgm:spPr/>
    </dgm:pt>
    <dgm:pt modelId="{D2F4F067-CFE5-46E3-BFD4-959A2DB64435}" type="pres">
      <dgm:prSet presAssocID="{934EADF2-0590-438B-A4D1-AA5C5BD3A304}" presName="accent_3" presStyleCnt="0"/>
      <dgm:spPr/>
    </dgm:pt>
    <dgm:pt modelId="{692C33D7-46E6-46DD-A1FF-F86FB29F0FC3}" type="pres">
      <dgm:prSet presAssocID="{934EADF2-0590-438B-A4D1-AA5C5BD3A304}" presName="accentRepeatNode" presStyleLbl="solidFgAcc1" presStyleIdx="2" presStyleCnt="3"/>
      <dgm:spPr/>
    </dgm:pt>
  </dgm:ptLst>
  <dgm:cxnLst>
    <dgm:cxn modelId="{2D559D18-5833-441A-9AB3-5DCBF3DC2449}" type="presOf" srcId="{934EADF2-0590-438B-A4D1-AA5C5BD3A304}" destId="{332895C5-41DC-4BAE-BE78-8B2D7F8A69BB}" srcOrd="0" destOrd="0" presId="urn:microsoft.com/office/officeart/2008/layout/VerticalCurvedList"/>
    <dgm:cxn modelId="{1B22BD1C-AAC2-4910-9FD9-4BF243E2B6C2}" type="presOf" srcId="{F66A8FFB-D31B-4D12-B1FB-F542B3D1E75D}" destId="{D4AB7590-A8A7-4260-9AB5-8172084D5D62}" srcOrd="0" destOrd="0" presId="urn:microsoft.com/office/officeart/2008/layout/VerticalCurvedList"/>
    <dgm:cxn modelId="{2822E228-7234-4F40-A052-A4FA4CD42DB2}" type="presOf" srcId="{FEFA43A9-6318-4BEF-8808-262140F4991F}" destId="{93C61F3B-8CB4-4BC0-8123-4819A85AB99C}" srcOrd="0" destOrd="0" presId="urn:microsoft.com/office/officeart/2008/layout/VerticalCurvedList"/>
    <dgm:cxn modelId="{8747643C-5DD7-46B6-9021-A71F6421FE6F}" type="presOf" srcId="{58C56840-3FA1-4C53-B398-780F92137047}" destId="{AB1768B3-20B6-478F-9E25-00E00228A5D4}" srcOrd="0" destOrd="0" presId="urn:microsoft.com/office/officeart/2008/layout/VerticalCurvedList"/>
    <dgm:cxn modelId="{22C4C03F-98A3-4E3F-A7ED-7A226676D35A}" type="presOf" srcId="{9F101B5B-C9EC-4FA6-8327-507CA099F14C}" destId="{DF0E1B6A-CE85-4BEE-B871-8C5A10BDCC2D}" srcOrd="0" destOrd="0" presId="urn:microsoft.com/office/officeart/2008/layout/VerticalCurvedList"/>
    <dgm:cxn modelId="{940FF844-A215-42BF-9950-132BA18BFA54}" srcId="{9F101B5B-C9EC-4FA6-8327-507CA099F14C}" destId="{934EADF2-0590-438B-A4D1-AA5C5BD3A304}" srcOrd="2" destOrd="0" parTransId="{9AE0D5FE-BB00-4E59-95D9-905B393F4558}" sibTransId="{EB40DEE1-9150-4012-A784-815F5A104FC3}"/>
    <dgm:cxn modelId="{E532FAB4-0343-4A09-BAFF-B14480E965A0}" srcId="{9F101B5B-C9EC-4FA6-8327-507CA099F14C}" destId="{F66A8FFB-D31B-4D12-B1FB-F542B3D1E75D}" srcOrd="1" destOrd="0" parTransId="{971D9971-0CA7-411B-A7BA-017659C30C29}" sibTransId="{536D6BFE-7908-4CC2-80D0-9FCB6F630DA6}"/>
    <dgm:cxn modelId="{754B81D3-43BC-41ED-9316-DDD7E3FC007C}" srcId="{9F101B5B-C9EC-4FA6-8327-507CA099F14C}" destId="{FEFA43A9-6318-4BEF-8808-262140F4991F}" srcOrd="0" destOrd="0" parTransId="{DAF5E353-ABDF-4A3C-BB8C-5ACA8F605500}" sibTransId="{58C56840-3FA1-4C53-B398-780F92137047}"/>
    <dgm:cxn modelId="{38E08BB5-4485-4CD4-9231-E15C1F6B140F}" type="presParOf" srcId="{DF0E1B6A-CE85-4BEE-B871-8C5A10BDCC2D}" destId="{D2E0888B-FAA6-4DCD-B294-577772001ED2}" srcOrd="0" destOrd="0" presId="urn:microsoft.com/office/officeart/2008/layout/VerticalCurvedList"/>
    <dgm:cxn modelId="{285355C9-082A-420B-B80A-2AF56F82B2D0}" type="presParOf" srcId="{D2E0888B-FAA6-4DCD-B294-577772001ED2}" destId="{2EBE5D2D-D9E0-4D77-B63F-67400E45AAA9}" srcOrd="0" destOrd="0" presId="urn:microsoft.com/office/officeart/2008/layout/VerticalCurvedList"/>
    <dgm:cxn modelId="{8D1E656E-160C-43FE-AEDF-808E67A18BA5}" type="presParOf" srcId="{2EBE5D2D-D9E0-4D77-B63F-67400E45AAA9}" destId="{5526C240-7922-46B2-94A0-7EB95D0C7D74}" srcOrd="0" destOrd="0" presId="urn:microsoft.com/office/officeart/2008/layout/VerticalCurvedList"/>
    <dgm:cxn modelId="{4C3B8E9A-E5E8-4691-AA0D-DD2CFB7A046A}" type="presParOf" srcId="{2EBE5D2D-D9E0-4D77-B63F-67400E45AAA9}" destId="{AB1768B3-20B6-478F-9E25-00E00228A5D4}" srcOrd="1" destOrd="0" presId="urn:microsoft.com/office/officeart/2008/layout/VerticalCurvedList"/>
    <dgm:cxn modelId="{EC26365B-9D07-40D3-82AD-B257A006B7A6}" type="presParOf" srcId="{2EBE5D2D-D9E0-4D77-B63F-67400E45AAA9}" destId="{6F01C4D2-5118-4272-B0CB-D900241C7707}" srcOrd="2" destOrd="0" presId="urn:microsoft.com/office/officeart/2008/layout/VerticalCurvedList"/>
    <dgm:cxn modelId="{0CDFACE9-D0F7-43D2-8968-443EED1C613E}" type="presParOf" srcId="{2EBE5D2D-D9E0-4D77-B63F-67400E45AAA9}" destId="{B188B625-D777-4B01-BAD6-C926F81A1351}" srcOrd="3" destOrd="0" presId="urn:microsoft.com/office/officeart/2008/layout/VerticalCurvedList"/>
    <dgm:cxn modelId="{98B629CB-3C01-4EEC-986B-69F61BEB402E}" type="presParOf" srcId="{D2E0888B-FAA6-4DCD-B294-577772001ED2}" destId="{93C61F3B-8CB4-4BC0-8123-4819A85AB99C}" srcOrd="1" destOrd="0" presId="urn:microsoft.com/office/officeart/2008/layout/VerticalCurvedList"/>
    <dgm:cxn modelId="{2D67CBD3-74DF-4C46-B0D3-B2329366CFCB}" type="presParOf" srcId="{D2E0888B-FAA6-4DCD-B294-577772001ED2}" destId="{4A5CEC6A-59B6-4534-A162-F074111613C5}" srcOrd="2" destOrd="0" presId="urn:microsoft.com/office/officeart/2008/layout/VerticalCurvedList"/>
    <dgm:cxn modelId="{4B2D094D-D225-4556-A004-DFF117C4026B}" type="presParOf" srcId="{4A5CEC6A-59B6-4534-A162-F074111613C5}" destId="{093BC1D2-A4D2-4D4E-9CA6-F0D58022ED22}" srcOrd="0" destOrd="0" presId="urn:microsoft.com/office/officeart/2008/layout/VerticalCurvedList"/>
    <dgm:cxn modelId="{80DF57E4-624B-4289-95AB-93DB0738F0AC}" type="presParOf" srcId="{D2E0888B-FAA6-4DCD-B294-577772001ED2}" destId="{D4AB7590-A8A7-4260-9AB5-8172084D5D62}" srcOrd="3" destOrd="0" presId="urn:microsoft.com/office/officeart/2008/layout/VerticalCurvedList"/>
    <dgm:cxn modelId="{98957800-C273-4CBF-8217-48E546B22684}" type="presParOf" srcId="{D2E0888B-FAA6-4DCD-B294-577772001ED2}" destId="{4CA37E4F-25BF-42C1-B1E0-7A06273DA91D}" srcOrd="4" destOrd="0" presId="urn:microsoft.com/office/officeart/2008/layout/VerticalCurvedList"/>
    <dgm:cxn modelId="{E1A557DD-79F0-475A-8C0E-F2593B98BC49}" type="presParOf" srcId="{4CA37E4F-25BF-42C1-B1E0-7A06273DA91D}" destId="{F7C11BE0-5A7A-4FB0-AF3D-9DFDF0DDF889}" srcOrd="0" destOrd="0" presId="urn:microsoft.com/office/officeart/2008/layout/VerticalCurvedList"/>
    <dgm:cxn modelId="{5E1709B6-0226-4687-8CA1-31531AC8FBC1}" type="presParOf" srcId="{D2E0888B-FAA6-4DCD-B294-577772001ED2}" destId="{332895C5-41DC-4BAE-BE78-8B2D7F8A69BB}" srcOrd="5" destOrd="0" presId="urn:microsoft.com/office/officeart/2008/layout/VerticalCurvedList"/>
    <dgm:cxn modelId="{C34D4581-E1DC-4B0B-B378-AAEB3F3C18BC}" type="presParOf" srcId="{D2E0888B-FAA6-4DCD-B294-577772001ED2}" destId="{D2F4F067-CFE5-46E3-BFD4-959A2DB64435}" srcOrd="6" destOrd="0" presId="urn:microsoft.com/office/officeart/2008/layout/VerticalCurvedList"/>
    <dgm:cxn modelId="{E7791FFC-E29F-4AD1-AAD5-2875F17D5D87}" type="presParOf" srcId="{D2F4F067-CFE5-46E3-BFD4-959A2DB64435}" destId="{692C33D7-46E6-46DD-A1FF-F86FB29F0FC3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B1768B3-20B6-478F-9E25-00E00228A5D4}">
      <dsp:nvSpPr>
        <dsp:cNvPr id="0" name=""/>
        <dsp:cNvSpPr/>
      </dsp:nvSpPr>
      <dsp:spPr>
        <a:xfrm>
          <a:off x="-3617274" y="-555868"/>
          <a:ext cx="4312137" cy="4312137"/>
        </a:xfrm>
        <a:prstGeom prst="blockArc">
          <a:avLst>
            <a:gd name="adj1" fmla="val 18900000"/>
            <a:gd name="adj2" fmla="val 2700000"/>
            <a:gd name="adj3" fmla="val 501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61F3B-8CB4-4BC0-8123-4819A85AB99C}">
      <dsp:nvSpPr>
        <dsp:cNvPr id="0" name=""/>
        <dsp:cNvSpPr/>
      </dsp:nvSpPr>
      <dsp:spPr>
        <a:xfrm>
          <a:off x="446834" y="320040"/>
          <a:ext cx="4998018" cy="6400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64" tIns="55880" rIns="55880" bIns="5588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200" kern="1200"/>
            <a:t>25% zarabiało nie mniej niż 6 320 PLN</a:t>
          </a:r>
        </a:p>
      </dsp:txBody>
      <dsp:txXfrm>
        <a:off x="446834" y="320040"/>
        <a:ext cx="4998018" cy="640080"/>
      </dsp:txXfrm>
    </dsp:sp>
    <dsp:sp modelId="{093BC1D2-A4D2-4D4E-9CA6-F0D58022ED22}">
      <dsp:nvSpPr>
        <dsp:cNvPr id="0" name=""/>
        <dsp:cNvSpPr/>
      </dsp:nvSpPr>
      <dsp:spPr>
        <a:xfrm>
          <a:off x="46784" y="24003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AB7590-A8A7-4260-9AB5-8172084D5D62}">
      <dsp:nvSpPr>
        <dsp:cNvPr id="0" name=""/>
        <dsp:cNvSpPr/>
      </dsp:nvSpPr>
      <dsp:spPr>
        <a:xfrm>
          <a:off x="679503" y="1280160"/>
          <a:ext cx="4765349" cy="6400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64" tIns="55880" rIns="55880" bIns="5588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200" kern="1200"/>
            <a:t>mediana 4 200 PLN</a:t>
          </a:r>
        </a:p>
      </dsp:txBody>
      <dsp:txXfrm>
        <a:off x="679503" y="1280160"/>
        <a:ext cx="4765349" cy="640080"/>
      </dsp:txXfrm>
    </dsp:sp>
    <dsp:sp modelId="{F7C11BE0-5A7A-4FB0-AF3D-9DFDF0DDF889}">
      <dsp:nvSpPr>
        <dsp:cNvPr id="0" name=""/>
        <dsp:cNvSpPr/>
      </dsp:nvSpPr>
      <dsp:spPr>
        <a:xfrm>
          <a:off x="279453" y="120015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32895C5-41DC-4BAE-BE78-8B2D7F8A69BB}">
      <dsp:nvSpPr>
        <dsp:cNvPr id="0" name=""/>
        <dsp:cNvSpPr/>
      </dsp:nvSpPr>
      <dsp:spPr>
        <a:xfrm>
          <a:off x="446834" y="2240280"/>
          <a:ext cx="4998018" cy="64008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64" tIns="55880" rIns="55880" bIns="55880" numCol="1" spcCol="1270" anchor="ctr" anchorCtr="0">
          <a:noAutofit/>
        </a:bodyPr>
        <a:lstStyle/>
        <a:p>
          <a:pPr marL="0" lvl="0" indent="0" algn="l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2200" kern="1200"/>
            <a:t>25% zarabiało nie więcej niż 3 000 PLN</a:t>
          </a:r>
        </a:p>
      </dsp:txBody>
      <dsp:txXfrm>
        <a:off x="446834" y="2240280"/>
        <a:ext cx="4998018" cy="640080"/>
      </dsp:txXfrm>
    </dsp:sp>
    <dsp:sp modelId="{692C33D7-46E6-46DD-A1FF-F86FB29F0FC3}">
      <dsp:nvSpPr>
        <dsp:cNvPr id="0" name=""/>
        <dsp:cNvSpPr/>
      </dsp:nvSpPr>
      <dsp:spPr>
        <a:xfrm>
          <a:off x="46784" y="2160270"/>
          <a:ext cx="800100" cy="800100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Sedlakowy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39417B"/>
      </a:accent1>
      <a:accent2>
        <a:srgbClr val="77C3D8"/>
      </a:accent2>
      <a:accent3>
        <a:srgbClr val="60B9B1"/>
      </a:accent3>
      <a:accent4>
        <a:srgbClr val="8585B0"/>
      </a:accent4>
      <a:accent5>
        <a:srgbClr val="EB605B"/>
      </a:accent5>
      <a:accent6>
        <a:srgbClr val="A5A88C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B24D1-B848-4B1D-B44D-F04084DE9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1287</Words>
  <Characters>7723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8993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Grzegorz Poręba</cp:lastModifiedBy>
  <cp:revision>4</cp:revision>
  <cp:lastPrinted>2016-12-19T13:09:00Z</cp:lastPrinted>
  <dcterms:created xsi:type="dcterms:W3CDTF">2017-02-08T13:22:00Z</dcterms:created>
  <dcterms:modified xsi:type="dcterms:W3CDTF">2017-06-12T13:07:00Z</dcterms:modified>
</cp:coreProperties>
</file>